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AAB" w:rsidRPr="00B16A70" w:rsidRDefault="00C20BC1" w:rsidP="007510AA">
      <w:pPr>
        <w:spacing w:after="0"/>
        <w:jc w:val="both"/>
        <w:rPr>
          <w:b/>
          <w:bCs/>
        </w:rPr>
      </w:pPr>
      <w:r w:rsidRPr="00B16A70">
        <w:rPr>
          <w:b/>
          <w:bCs/>
        </w:rPr>
        <w:t xml:space="preserve">Summary of Sales during the year 2013-14 &amp; 2014-15 </w:t>
      </w:r>
    </w:p>
    <w:tbl>
      <w:tblPr>
        <w:tblW w:w="5113" w:type="dxa"/>
        <w:tblLook w:val="04A0"/>
      </w:tblPr>
      <w:tblGrid>
        <w:gridCol w:w="1783"/>
        <w:gridCol w:w="1046"/>
        <w:gridCol w:w="1024"/>
        <w:gridCol w:w="1260"/>
      </w:tblGrid>
      <w:tr w:rsidR="00C20BC1" w:rsidRPr="00C20BC1" w:rsidTr="00B16A70">
        <w:trPr>
          <w:trHeight w:val="499"/>
        </w:trPr>
        <w:tc>
          <w:tcPr>
            <w:tcW w:w="2829" w:type="dxa"/>
            <w:gridSpan w:val="2"/>
            <w:tcBorders>
              <w:top w:val="nil"/>
              <w:left w:val="nil"/>
              <w:bottom w:val="single" w:sz="4" w:space="0" w:color="auto"/>
              <w:right w:val="nil"/>
            </w:tcBorders>
            <w:shd w:val="clear" w:color="auto" w:fill="auto"/>
            <w:noWrap/>
            <w:vAlign w:val="center"/>
            <w:hideMark/>
          </w:tcPr>
          <w:p w:rsidR="00C20BC1" w:rsidRPr="00C20BC1" w:rsidRDefault="00B16A70" w:rsidP="007510AA">
            <w:pPr>
              <w:spacing w:after="0" w:line="240" w:lineRule="auto"/>
              <w:jc w:val="both"/>
              <w:rPr>
                <w:rFonts w:ascii="Calibri" w:eastAsia="Times New Roman" w:hAnsi="Calibri" w:cs="Calibri"/>
                <w:b/>
                <w:bCs/>
                <w:color w:val="000000"/>
              </w:rPr>
            </w:pPr>
            <w:r>
              <w:rPr>
                <w:rFonts w:ascii="Calibri" w:eastAsia="Times New Roman" w:hAnsi="Calibri" w:cs="Calibri"/>
                <w:b/>
                <w:bCs/>
                <w:color w:val="000000"/>
              </w:rPr>
              <w:t xml:space="preserve">Table 1.1  Sales </w:t>
            </w:r>
          </w:p>
        </w:tc>
        <w:tc>
          <w:tcPr>
            <w:tcW w:w="1024" w:type="dxa"/>
            <w:tcBorders>
              <w:top w:val="nil"/>
              <w:left w:val="nil"/>
              <w:bottom w:val="single" w:sz="4" w:space="0" w:color="auto"/>
              <w:right w:val="nil"/>
            </w:tcBorders>
            <w:shd w:val="clear" w:color="auto" w:fill="auto"/>
            <w:noWrap/>
            <w:vAlign w:val="bottom"/>
            <w:hideMark/>
          </w:tcPr>
          <w:p w:rsidR="00C20BC1" w:rsidRPr="00C20BC1" w:rsidRDefault="00C20BC1" w:rsidP="007510AA">
            <w:pPr>
              <w:spacing w:after="0" w:line="240" w:lineRule="auto"/>
              <w:jc w:val="both"/>
              <w:rPr>
                <w:rFonts w:ascii="Calibri" w:eastAsia="Times New Roman" w:hAnsi="Calibri" w:cs="Calibri"/>
                <w:color w:val="000000"/>
              </w:rPr>
            </w:pPr>
          </w:p>
        </w:tc>
        <w:tc>
          <w:tcPr>
            <w:tcW w:w="1260" w:type="dxa"/>
            <w:tcBorders>
              <w:top w:val="nil"/>
              <w:left w:val="nil"/>
              <w:bottom w:val="single" w:sz="4" w:space="0" w:color="auto"/>
              <w:right w:val="nil"/>
            </w:tcBorders>
            <w:shd w:val="clear" w:color="auto" w:fill="auto"/>
            <w:noWrap/>
            <w:vAlign w:val="bottom"/>
            <w:hideMark/>
          </w:tcPr>
          <w:p w:rsidR="00C20BC1" w:rsidRPr="00C20BC1" w:rsidRDefault="00C20BC1" w:rsidP="007510AA">
            <w:pPr>
              <w:spacing w:after="0" w:line="240" w:lineRule="auto"/>
              <w:jc w:val="both"/>
              <w:rPr>
                <w:rFonts w:ascii="Calibri" w:eastAsia="Times New Roman" w:hAnsi="Calibri" w:cs="Calibri"/>
                <w:b/>
                <w:bCs/>
                <w:color w:val="000000"/>
              </w:rPr>
            </w:pPr>
            <w:r w:rsidRPr="00C20BC1">
              <w:rPr>
                <w:rFonts w:ascii="Calibri" w:eastAsia="Times New Roman" w:hAnsi="Calibri" w:cs="Calibri"/>
                <w:b/>
                <w:bCs/>
                <w:color w:val="000000"/>
              </w:rPr>
              <w:t xml:space="preserve"> in Lacs </w:t>
            </w:r>
          </w:p>
        </w:tc>
      </w:tr>
      <w:tr w:rsidR="00C20BC1" w:rsidRPr="00C20BC1" w:rsidTr="00B16A70">
        <w:trPr>
          <w:trHeight w:val="660"/>
        </w:trPr>
        <w:tc>
          <w:tcPr>
            <w:tcW w:w="1783" w:type="dxa"/>
            <w:tcBorders>
              <w:top w:val="single" w:sz="4" w:space="0" w:color="auto"/>
              <w:left w:val="single" w:sz="4" w:space="0" w:color="auto"/>
              <w:bottom w:val="single" w:sz="4" w:space="0" w:color="95B3D7"/>
              <w:right w:val="nil"/>
            </w:tcBorders>
            <w:shd w:val="clear" w:color="DBE5F1" w:fill="DBE5F1"/>
            <w:noWrap/>
            <w:vAlign w:val="center"/>
            <w:hideMark/>
          </w:tcPr>
          <w:p w:rsidR="00C20BC1" w:rsidRPr="00C20BC1" w:rsidRDefault="00C20BC1" w:rsidP="007510AA">
            <w:pPr>
              <w:spacing w:after="0" w:line="240" w:lineRule="auto"/>
              <w:jc w:val="both"/>
              <w:rPr>
                <w:rFonts w:ascii="Calibri" w:eastAsia="Times New Roman" w:hAnsi="Calibri" w:cs="Calibri"/>
                <w:b/>
                <w:bCs/>
                <w:color w:val="000000"/>
                <w:sz w:val="18"/>
                <w:szCs w:val="18"/>
              </w:rPr>
            </w:pPr>
            <w:r w:rsidRPr="00C20BC1">
              <w:rPr>
                <w:rFonts w:ascii="Calibri" w:eastAsia="Times New Roman" w:hAnsi="Calibri" w:cs="Calibri"/>
                <w:b/>
                <w:bCs/>
                <w:color w:val="000000"/>
                <w:sz w:val="18"/>
                <w:szCs w:val="18"/>
              </w:rPr>
              <w:t>Sales Man</w:t>
            </w:r>
          </w:p>
        </w:tc>
        <w:tc>
          <w:tcPr>
            <w:tcW w:w="1046" w:type="dxa"/>
            <w:tcBorders>
              <w:top w:val="single" w:sz="4" w:space="0" w:color="auto"/>
              <w:left w:val="nil"/>
              <w:bottom w:val="single" w:sz="4" w:space="0" w:color="95B3D7"/>
              <w:right w:val="nil"/>
            </w:tcBorders>
            <w:shd w:val="clear" w:color="DBE5F1" w:fill="DBE5F1"/>
            <w:noWrap/>
            <w:vAlign w:val="center"/>
            <w:hideMark/>
          </w:tcPr>
          <w:p w:rsidR="00C20BC1" w:rsidRPr="00C20BC1" w:rsidRDefault="00C20BC1" w:rsidP="007510AA">
            <w:pPr>
              <w:spacing w:after="0" w:line="240" w:lineRule="auto"/>
              <w:jc w:val="both"/>
              <w:rPr>
                <w:rFonts w:ascii="Calibri" w:eastAsia="Times New Roman" w:hAnsi="Calibri" w:cs="Calibri"/>
                <w:b/>
                <w:bCs/>
                <w:color w:val="000000"/>
                <w:sz w:val="18"/>
                <w:szCs w:val="18"/>
              </w:rPr>
            </w:pPr>
            <w:r w:rsidRPr="00C20BC1">
              <w:rPr>
                <w:rFonts w:ascii="Calibri" w:eastAsia="Times New Roman" w:hAnsi="Calibri" w:cs="Calibri"/>
                <w:b/>
                <w:bCs/>
                <w:color w:val="000000"/>
                <w:sz w:val="18"/>
                <w:szCs w:val="18"/>
              </w:rPr>
              <w:t xml:space="preserve"> 2013-14 </w:t>
            </w:r>
          </w:p>
        </w:tc>
        <w:tc>
          <w:tcPr>
            <w:tcW w:w="1024" w:type="dxa"/>
            <w:tcBorders>
              <w:top w:val="single" w:sz="4" w:space="0" w:color="auto"/>
              <w:left w:val="nil"/>
              <w:bottom w:val="single" w:sz="4" w:space="0" w:color="95B3D7"/>
              <w:right w:val="nil"/>
            </w:tcBorders>
            <w:shd w:val="clear" w:color="DBE5F1" w:fill="DBE5F1"/>
            <w:noWrap/>
            <w:vAlign w:val="center"/>
            <w:hideMark/>
          </w:tcPr>
          <w:p w:rsidR="00C20BC1" w:rsidRPr="00C20BC1" w:rsidRDefault="00C20BC1" w:rsidP="007510AA">
            <w:pPr>
              <w:spacing w:after="0" w:line="240" w:lineRule="auto"/>
              <w:jc w:val="both"/>
              <w:rPr>
                <w:rFonts w:ascii="Calibri" w:eastAsia="Times New Roman" w:hAnsi="Calibri" w:cs="Calibri"/>
                <w:b/>
                <w:bCs/>
                <w:color w:val="000000"/>
                <w:sz w:val="18"/>
                <w:szCs w:val="18"/>
              </w:rPr>
            </w:pPr>
            <w:r w:rsidRPr="00C20BC1">
              <w:rPr>
                <w:rFonts w:ascii="Calibri" w:eastAsia="Times New Roman" w:hAnsi="Calibri" w:cs="Calibri"/>
                <w:b/>
                <w:bCs/>
                <w:color w:val="000000"/>
                <w:sz w:val="18"/>
                <w:szCs w:val="18"/>
              </w:rPr>
              <w:t xml:space="preserve"> 2014-15 </w:t>
            </w:r>
          </w:p>
        </w:tc>
        <w:tc>
          <w:tcPr>
            <w:tcW w:w="1260" w:type="dxa"/>
            <w:tcBorders>
              <w:top w:val="single" w:sz="4" w:space="0" w:color="auto"/>
              <w:left w:val="nil"/>
              <w:bottom w:val="single" w:sz="4" w:space="0" w:color="95B3D7"/>
              <w:right w:val="single" w:sz="4" w:space="0" w:color="auto"/>
            </w:tcBorders>
            <w:shd w:val="clear" w:color="DBE5F1" w:fill="DBE5F1"/>
            <w:vAlign w:val="center"/>
            <w:hideMark/>
          </w:tcPr>
          <w:p w:rsidR="00C20BC1" w:rsidRPr="00C20BC1" w:rsidRDefault="00C20BC1" w:rsidP="007510AA">
            <w:pPr>
              <w:spacing w:after="0" w:line="240" w:lineRule="auto"/>
              <w:jc w:val="both"/>
              <w:rPr>
                <w:rFonts w:ascii="Calibri" w:eastAsia="Times New Roman" w:hAnsi="Calibri" w:cs="Calibri"/>
                <w:b/>
                <w:bCs/>
                <w:color w:val="000000"/>
                <w:sz w:val="18"/>
                <w:szCs w:val="18"/>
              </w:rPr>
            </w:pPr>
            <w:r w:rsidRPr="00C20BC1">
              <w:rPr>
                <w:rFonts w:ascii="Calibri" w:eastAsia="Times New Roman" w:hAnsi="Calibri" w:cs="Calibri"/>
                <w:b/>
                <w:bCs/>
                <w:color w:val="000000"/>
                <w:sz w:val="18"/>
                <w:szCs w:val="18"/>
              </w:rPr>
              <w:t xml:space="preserve"> Increase/ </w:t>
            </w:r>
            <w:r w:rsidRPr="00C20BC1">
              <w:rPr>
                <w:rFonts w:ascii="Calibri" w:eastAsia="Times New Roman" w:hAnsi="Calibri" w:cs="Calibri"/>
                <w:b/>
                <w:bCs/>
                <w:color w:val="000000"/>
                <w:sz w:val="18"/>
                <w:szCs w:val="18"/>
              </w:rPr>
              <w:br/>
              <w:t xml:space="preserve">Decrease </w:t>
            </w:r>
          </w:p>
        </w:tc>
      </w:tr>
      <w:tr w:rsidR="00C20BC1" w:rsidRPr="00C20BC1" w:rsidTr="00B16A70">
        <w:trPr>
          <w:trHeight w:val="499"/>
        </w:trPr>
        <w:tc>
          <w:tcPr>
            <w:tcW w:w="1783" w:type="dxa"/>
            <w:tcBorders>
              <w:top w:val="nil"/>
              <w:left w:val="single" w:sz="4" w:space="0" w:color="auto"/>
              <w:bottom w:val="nil"/>
              <w:right w:val="nil"/>
            </w:tcBorders>
            <w:shd w:val="clear" w:color="auto" w:fill="auto"/>
            <w:noWrap/>
            <w:vAlign w:val="bottom"/>
            <w:hideMark/>
          </w:tcPr>
          <w:p w:rsidR="00C20BC1" w:rsidRPr="00C20BC1" w:rsidRDefault="00C20BC1" w:rsidP="007510AA">
            <w:pPr>
              <w:spacing w:after="0" w:line="240" w:lineRule="auto"/>
              <w:jc w:val="both"/>
              <w:rPr>
                <w:rFonts w:ascii="Calibri" w:eastAsia="Times New Roman" w:hAnsi="Calibri" w:cs="Calibri"/>
                <w:b/>
                <w:bCs/>
                <w:color w:val="000000"/>
              </w:rPr>
            </w:pPr>
            <w:r w:rsidRPr="00C20BC1">
              <w:rPr>
                <w:rFonts w:ascii="Calibri" w:eastAsia="Times New Roman" w:hAnsi="Calibri" w:cs="Calibri"/>
                <w:b/>
                <w:bCs/>
                <w:color w:val="000000"/>
              </w:rPr>
              <w:t>Mahesh Acharya</w:t>
            </w:r>
          </w:p>
        </w:tc>
        <w:tc>
          <w:tcPr>
            <w:tcW w:w="1046" w:type="dxa"/>
            <w:tcBorders>
              <w:top w:val="nil"/>
              <w:left w:val="nil"/>
              <w:bottom w:val="nil"/>
              <w:right w:val="nil"/>
            </w:tcBorders>
            <w:shd w:val="clear" w:color="auto" w:fill="auto"/>
            <w:noWrap/>
            <w:vAlign w:val="bottom"/>
            <w:hideMark/>
          </w:tcPr>
          <w:p w:rsidR="00C20BC1" w:rsidRPr="00C20BC1" w:rsidRDefault="00C20BC1" w:rsidP="007510AA">
            <w:pPr>
              <w:spacing w:after="0" w:line="240" w:lineRule="auto"/>
              <w:jc w:val="both"/>
              <w:rPr>
                <w:rFonts w:ascii="Calibri" w:eastAsia="Times New Roman" w:hAnsi="Calibri" w:cs="Calibri"/>
                <w:color w:val="000000"/>
              </w:rPr>
            </w:pPr>
            <w:r w:rsidRPr="00C20BC1">
              <w:rPr>
                <w:rFonts w:ascii="Calibri" w:eastAsia="Times New Roman" w:hAnsi="Calibri" w:cs="Calibri"/>
                <w:color w:val="000000"/>
              </w:rPr>
              <w:t xml:space="preserve">      31.26 </w:t>
            </w:r>
          </w:p>
        </w:tc>
        <w:tc>
          <w:tcPr>
            <w:tcW w:w="1024" w:type="dxa"/>
            <w:tcBorders>
              <w:top w:val="nil"/>
              <w:left w:val="nil"/>
              <w:bottom w:val="nil"/>
              <w:right w:val="nil"/>
            </w:tcBorders>
            <w:shd w:val="clear" w:color="auto" w:fill="auto"/>
            <w:noWrap/>
            <w:vAlign w:val="bottom"/>
            <w:hideMark/>
          </w:tcPr>
          <w:p w:rsidR="00C20BC1" w:rsidRPr="00C20BC1" w:rsidRDefault="00C20BC1" w:rsidP="007510AA">
            <w:pPr>
              <w:spacing w:after="0" w:line="240" w:lineRule="auto"/>
              <w:jc w:val="both"/>
              <w:rPr>
                <w:rFonts w:ascii="Calibri" w:eastAsia="Times New Roman" w:hAnsi="Calibri" w:cs="Calibri"/>
                <w:color w:val="000000"/>
              </w:rPr>
            </w:pPr>
            <w:r w:rsidRPr="00C20BC1">
              <w:rPr>
                <w:rFonts w:ascii="Calibri" w:eastAsia="Times New Roman" w:hAnsi="Calibri" w:cs="Calibri"/>
                <w:color w:val="000000"/>
              </w:rPr>
              <w:t xml:space="preserve">     23.85 </w:t>
            </w:r>
          </w:p>
        </w:tc>
        <w:tc>
          <w:tcPr>
            <w:tcW w:w="1260" w:type="dxa"/>
            <w:tcBorders>
              <w:top w:val="nil"/>
              <w:left w:val="nil"/>
              <w:bottom w:val="nil"/>
              <w:right w:val="single" w:sz="4" w:space="0" w:color="auto"/>
            </w:tcBorders>
            <w:shd w:val="clear" w:color="auto" w:fill="auto"/>
            <w:noWrap/>
            <w:vAlign w:val="bottom"/>
            <w:hideMark/>
          </w:tcPr>
          <w:p w:rsidR="00C20BC1" w:rsidRPr="00C20BC1" w:rsidRDefault="00C20BC1" w:rsidP="007510AA">
            <w:pPr>
              <w:spacing w:after="0" w:line="240" w:lineRule="auto"/>
              <w:jc w:val="both"/>
              <w:rPr>
                <w:rFonts w:ascii="Calibri" w:eastAsia="Times New Roman" w:hAnsi="Calibri" w:cs="Calibri"/>
                <w:color w:val="000000"/>
              </w:rPr>
            </w:pPr>
            <w:r w:rsidRPr="00C20BC1">
              <w:rPr>
                <w:rFonts w:ascii="Calibri" w:eastAsia="Times New Roman" w:hAnsi="Calibri" w:cs="Calibri"/>
                <w:color w:val="000000"/>
              </w:rPr>
              <w:t xml:space="preserve">       (7.41)</w:t>
            </w:r>
          </w:p>
        </w:tc>
      </w:tr>
      <w:tr w:rsidR="00C20BC1" w:rsidRPr="00C20BC1" w:rsidTr="00B16A70">
        <w:trPr>
          <w:trHeight w:val="499"/>
        </w:trPr>
        <w:tc>
          <w:tcPr>
            <w:tcW w:w="1783" w:type="dxa"/>
            <w:tcBorders>
              <w:top w:val="nil"/>
              <w:left w:val="single" w:sz="4" w:space="0" w:color="auto"/>
              <w:bottom w:val="nil"/>
              <w:right w:val="nil"/>
            </w:tcBorders>
            <w:shd w:val="clear" w:color="auto" w:fill="auto"/>
            <w:noWrap/>
            <w:vAlign w:val="bottom"/>
            <w:hideMark/>
          </w:tcPr>
          <w:p w:rsidR="00C20BC1" w:rsidRPr="00C20BC1" w:rsidRDefault="00C20BC1" w:rsidP="007510AA">
            <w:pPr>
              <w:spacing w:after="0" w:line="240" w:lineRule="auto"/>
              <w:jc w:val="both"/>
              <w:rPr>
                <w:rFonts w:ascii="Calibri" w:eastAsia="Times New Roman" w:hAnsi="Calibri" w:cs="Calibri"/>
                <w:b/>
                <w:bCs/>
                <w:color w:val="000000"/>
              </w:rPr>
            </w:pPr>
            <w:r w:rsidRPr="00C20BC1">
              <w:rPr>
                <w:rFonts w:ascii="Calibri" w:eastAsia="Times New Roman" w:hAnsi="Calibri" w:cs="Calibri"/>
                <w:b/>
                <w:bCs/>
                <w:color w:val="000000"/>
              </w:rPr>
              <w:t>Prakash Shah</w:t>
            </w:r>
          </w:p>
        </w:tc>
        <w:tc>
          <w:tcPr>
            <w:tcW w:w="1046" w:type="dxa"/>
            <w:tcBorders>
              <w:top w:val="nil"/>
              <w:left w:val="nil"/>
              <w:bottom w:val="nil"/>
              <w:right w:val="nil"/>
            </w:tcBorders>
            <w:shd w:val="clear" w:color="auto" w:fill="auto"/>
            <w:noWrap/>
            <w:vAlign w:val="bottom"/>
            <w:hideMark/>
          </w:tcPr>
          <w:p w:rsidR="00C20BC1" w:rsidRPr="00C20BC1" w:rsidRDefault="00C20BC1" w:rsidP="007510AA">
            <w:pPr>
              <w:spacing w:after="0" w:line="240" w:lineRule="auto"/>
              <w:jc w:val="both"/>
              <w:rPr>
                <w:rFonts w:ascii="Calibri" w:eastAsia="Times New Roman" w:hAnsi="Calibri" w:cs="Calibri"/>
                <w:color w:val="000000"/>
              </w:rPr>
            </w:pPr>
            <w:r w:rsidRPr="00C20BC1">
              <w:rPr>
                <w:rFonts w:ascii="Calibri" w:eastAsia="Times New Roman" w:hAnsi="Calibri" w:cs="Calibri"/>
                <w:color w:val="000000"/>
              </w:rPr>
              <w:t xml:space="preserve">      37.06 </w:t>
            </w:r>
          </w:p>
        </w:tc>
        <w:tc>
          <w:tcPr>
            <w:tcW w:w="1024" w:type="dxa"/>
            <w:tcBorders>
              <w:top w:val="nil"/>
              <w:left w:val="nil"/>
              <w:bottom w:val="nil"/>
              <w:right w:val="nil"/>
            </w:tcBorders>
            <w:shd w:val="clear" w:color="auto" w:fill="auto"/>
            <w:noWrap/>
            <w:vAlign w:val="bottom"/>
            <w:hideMark/>
          </w:tcPr>
          <w:p w:rsidR="00C20BC1" w:rsidRPr="00C20BC1" w:rsidRDefault="00C20BC1" w:rsidP="007510AA">
            <w:pPr>
              <w:spacing w:after="0" w:line="240" w:lineRule="auto"/>
              <w:jc w:val="both"/>
              <w:rPr>
                <w:rFonts w:ascii="Calibri" w:eastAsia="Times New Roman" w:hAnsi="Calibri" w:cs="Calibri"/>
                <w:color w:val="000000"/>
              </w:rPr>
            </w:pPr>
            <w:r w:rsidRPr="00C20BC1">
              <w:rPr>
                <w:rFonts w:ascii="Calibri" w:eastAsia="Times New Roman" w:hAnsi="Calibri" w:cs="Calibri"/>
                <w:color w:val="000000"/>
              </w:rPr>
              <w:t xml:space="preserve">     37.58 </w:t>
            </w:r>
          </w:p>
        </w:tc>
        <w:tc>
          <w:tcPr>
            <w:tcW w:w="1260" w:type="dxa"/>
            <w:tcBorders>
              <w:top w:val="nil"/>
              <w:left w:val="nil"/>
              <w:bottom w:val="nil"/>
              <w:right w:val="single" w:sz="4" w:space="0" w:color="auto"/>
            </w:tcBorders>
            <w:shd w:val="clear" w:color="auto" w:fill="auto"/>
            <w:noWrap/>
            <w:vAlign w:val="bottom"/>
            <w:hideMark/>
          </w:tcPr>
          <w:p w:rsidR="00C20BC1" w:rsidRPr="00C20BC1" w:rsidRDefault="00C20BC1" w:rsidP="007510AA">
            <w:pPr>
              <w:spacing w:after="0" w:line="240" w:lineRule="auto"/>
              <w:jc w:val="both"/>
              <w:rPr>
                <w:rFonts w:ascii="Calibri" w:eastAsia="Times New Roman" w:hAnsi="Calibri" w:cs="Calibri"/>
                <w:color w:val="000000"/>
              </w:rPr>
            </w:pPr>
            <w:r w:rsidRPr="00C20BC1">
              <w:rPr>
                <w:rFonts w:ascii="Calibri" w:eastAsia="Times New Roman" w:hAnsi="Calibri" w:cs="Calibri"/>
                <w:color w:val="000000"/>
              </w:rPr>
              <w:t xml:space="preserve">         0.52 </w:t>
            </w:r>
          </w:p>
        </w:tc>
      </w:tr>
      <w:tr w:rsidR="00C20BC1" w:rsidRPr="00C20BC1" w:rsidTr="00B16A70">
        <w:trPr>
          <w:trHeight w:val="499"/>
        </w:trPr>
        <w:tc>
          <w:tcPr>
            <w:tcW w:w="1783" w:type="dxa"/>
            <w:tcBorders>
              <w:top w:val="nil"/>
              <w:left w:val="single" w:sz="4" w:space="0" w:color="auto"/>
              <w:bottom w:val="single" w:sz="4" w:space="0" w:color="auto"/>
              <w:right w:val="nil"/>
            </w:tcBorders>
            <w:shd w:val="clear" w:color="auto" w:fill="auto"/>
            <w:noWrap/>
            <w:vAlign w:val="bottom"/>
            <w:hideMark/>
          </w:tcPr>
          <w:p w:rsidR="00C20BC1" w:rsidRPr="00C20BC1" w:rsidRDefault="00C20BC1" w:rsidP="007510AA">
            <w:pPr>
              <w:spacing w:after="0" w:line="240" w:lineRule="auto"/>
              <w:jc w:val="both"/>
              <w:rPr>
                <w:rFonts w:ascii="Calibri" w:eastAsia="Times New Roman" w:hAnsi="Calibri" w:cs="Calibri"/>
                <w:b/>
                <w:bCs/>
                <w:color w:val="000000"/>
              </w:rPr>
            </w:pPr>
            <w:r w:rsidRPr="00C20BC1">
              <w:rPr>
                <w:rFonts w:ascii="Calibri" w:eastAsia="Times New Roman" w:hAnsi="Calibri" w:cs="Calibri"/>
                <w:b/>
                <w:bCs/>
                <w:color w:val="000000"/>
              </w:rPr>
              <w:t>Suresh Patel</w:t>
            </w:r>
          </w:p>
        </w:tc>
        <w:tc>
          <w:tcPr>
            <w:tcW w:w="1046" w:type="dxa"/>
            <w:tcBorders>
              <w:top w:val="nil"/>
              <w:left w:val="nil"/>
              <w:bottom w:val="single" w:sz="4" w:space="0" w:color="auto"/>
              <w:right w:val="nil"/>
            </w:tcBorders>
            <w:shd w:val="clear" w:color="auto" w:fill="auto"/>
            <w:noWrap/>
            <w:vAlign w:val="bottom"/>
            <w:hideMark/>
          </w:tcPr>
          <w:p w:rsidR="00C20BC1" w:rsidRPr="00C20BC1" w:rsidRDefault="00C20BC1" w:rsidP="007510AA">
            <w:pPr>
              <w:spacing w:after="0" w:line="240" w:lineRule="auto"/>
              <w:jc w:val="both"/>
              <w:rPr>
                <w:rFonts w:ascii="Calibri" w:eastAsia="Times New Roman" w:hAnsi="Calibri" w:cs="Calibri"/>
                <w:color w:val="000000"/>
              </w:rPr>
            </w:pPr>
            <w:r w:rsidRPr="00C20BC1">
              <w:rPr>
                <w:rFonts w:ascii="Calibri" w:eastAsia="Times New Roman" w:hAnsi="Calibri" w:cs="Calibri"/>
                <w:color w:val="000000"/>
              </w:rPr>
              <w:t xml:space="preserve">      40.36 </w:t>
            </w:r>
          </w:p>
        </w:tc>
        <w:tc>
          <w:tcPr>
            <w:tcW w:w="1024" w:type="dxa"/>
            <w:tcBorders>
              <w:top w:val="nil"/>
              <w:left w:val="nil"/>
              <w:bottom w:val="single" w:sz="4" w:space="0" w:color="auto"/>
              <w:right w:val="nil"/>
            </w:tcBorders>
            <w:shd w:val="clear" w:color="auto" w:fill="auto"/>
            <w:noWrap/>
            <w:vAlign w:val="bottom"/>
            <w:hideMark/>
          </w:tcPr>
          <w:p w:rsidR="00C20BC1" w:rsidRPr="00C20BC1" w:rsidRDefault="00C20BC1" w:rsidP="007510AA">
            <w:pPr>
              <w:spacing w:after="0" w:line="240" w:lineRule="auto"/>
              <w:jc w:val="both"/>
              <w:rPr>
                <w:rFonts w:ascii="Calibri" w:eastAsia="Times New Roman" w:hAnsi="Calibri" w:cs="Calibri"/>
                <w:color w:val="000000"/>
              </w:rPr>
            </w:pPr>
            <w:r w:rsidRPr="00C20BC1">
              <w:rPr>
                <w:rFonts w:ascii="Calibri" w:eastAsia="Times New Roman" w:hAnsi="Calibri" w:cs="Calibri"/>
                <w:color w:val="000000"/>
              </w:rPr>
              <w:t xml:space="preserve">     48.05 </w:t>
            </w:r>
          </w:p>
        </w:tc>
        <w:tc>
          <w:tcPr>
            <w:tcW w:w="1260" w:type="dxa"/>
            <w:tcBorders>
              <w:top w:val="nil"/>
              <w:left w:val="nil"/>
              <w:bottom w:val="single" w:sz="4" w:space="0" w:color="auto"/>
              <w:right w:val="single" w:sz="4" w:space="0" w:color="auto"/>
            </w:tcBorders>
            <w:shd w:val="clear" w:color="auto" w:fill="auto"/>
            <w:noWrap/>
            <w:vAlign w:val="bottom"/>
            <w:hideMark/>
          </w:tcPr>
          <w:p w:rsidR="00C20BC1" w:rsidRPr="00C20BC1" w:rsidRDefault="00C20BC1" w:rsidP="007510AA">
            <w:pPr>
              <w:spacing w:after="0" w:line="240" w:lineRule="auto"/>
              <w:jc w:val="both"/>
              <w:rPr>
                <w:rFonts w:ascii="Calibri" w:eastAsia="Times New Roman" w:hAnsi="Calibri" w:cs="Calibri"/>
                <w:color w:val="000000"/>
              </w:rPr>
            </w:pPr>
            <w:r w:rsidRPr="00C20BC1">
              <w:rPr>
                <w:rFonts w:ascii="Calibri" w:eastAsia="Times New Roman" w:hAnsi="Calibri" w:cs="Calibri"/>
                <w:color w:val="000000"/>
              </w:rPr>
              <w:t xml:space="preserve">         7.70 </w:t>
            </w:r>
          </w:p>
        </w:tc>
      </w:tr>
    </w:tbl>
    <w:p w:rsidR="00C20BC1" w:rsidRDefault="00C20BC1" w:rsidP="007510AA">
      <w:pPr>
        <w:jc w:val="both"/>
      </w:pPr>
    </w:p>
    <w:p w:rsidR="00B16A70" w:rsidRDefault="00FC29C2" w:rsidP="007510AA">
      <w:pPr>
        <w:jc w:val="both"/>
        <w:rPr>
          <w:b/>
          <w:bCs/>
        </w:rPr>
      </w:pPr>
      <w:r w:rsidRPr="00FC29C2">
        <w:rPr>
          <w:b/>
          <w:bCs/>
        </w:rPr>
        <w:t xml:space="preserve">Chart 1.1 </w:t>
      </w:r>
      <w:r>
        <w:rPr>
          <w:b/>
          <w:bCs/>
        </w:rPr>
        <w:t xml:space="preserve">Salesman Wise Sales </w:t>
      </w:r>
    </w:p>
    <w:p w:rsidR="00FC29C2" w:rsidRDefault="00FC29C2" w:rsidP="007510AA">
      <w:pPr>
        <w:jc w:val="both"/>
        <w:rPr>
          <w:b/>
          <w:bCs/>
        </w:rPr>
      </w:pPr>
      <w:r w:rsidRPr="00FC29C2">
        <w:rPr>
          <w:b/>
          <w:bCs/>
          <w:noProof/>
        </w:rPr>
        <w:drawing>
          <wp:inline distT="0" distB="0" distL="0" distR="0">
            <wp:extent cx="4857750" cy="3143250"/>
            <wp:effectExtent l="57150" t="0" r="38100" b="3810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2183F" w:rsidRDefault="0062183F" w:rsidP="007510AA">
      <w:pPr>
        <w:jc w:val="both"/>
        <w:rPr>
          <w:b/>
          <w:bCs/>
        </w:rPr>
      </w:pPr>
      <w:r>
        <w:rPr>
          <w:b/>
          <w:bCs/>
        </w:rPr>
        <w:t xml:space="preserve">Analysis 1.1  Salesman wise Sales </w:t>
      </w:r>
    </w:p>
    <w:p w:rsidR="0062183F" w:rsidRDefault="0062183F" w:rsidP="007510AA">
      <w:pPr>
        <w:spacing w:after="0" w:line="240" w:lineRule="auto"/>
        <w:jc w:val="both"/>
      </w:pPr>
      <w:r>
        <w:rPr>
          <w:b/>
          <w:bCs/>
        </w:rPr>
        <w:tab/>
      </w:r>
      <w:r>
        <w:t xml:space="preserve">We have observed that Sales of Mr. Mahesh Acharya has been decreased in the year 2014-15 compared to the year 2013-14. Sales efforts should be accelerated by the respective marketing person to increase the sales of the company. </w:t>
      </w:r>
    </w:p>
    <w:p w:rsidR="0062183F" w:rsidRDefault="0062183F" w:rsidP="007510AA">
      <w:pPr>
        <w:spacing w:after="0" w:line="240" w:lineRule="auto"/>
        <w:ind w:firstLine="720"/>
        <w:jc w:val="both"/>
      </w:pPr>
      <w:r>
        <w:t xml:space="preserve">Sales of Mr. Prakash Shah has maintained its level as achieved in the previous year. Suggestions for increasing the sales in the particular territory should be invited from the dealers and implement the suitable option to increase the sales. </w:t>
      </w:r>
    </w:p>
    <w:p w:rsidR="0062183F" w:rsidRPr="0062183F" w:rsidRDefault="0062183F" w:rsidP="007510AA">
      <w:pPr>
        <w:spacing w:after="0" w:line="240" w:lineRule="auto"/>
        <w:ind w:firstLine="720"/>
        <w:jc w:val="both"/>
      </w:pPr>
      <w:r>
        <w:t xml:space="preserve">Performance of Mr. Suresh Patel is </w:t>
      </w:r>
      <w:r w:rsidR="007941F2">
        <w:t xml:space="preserve">beyond expectations. Regular meetings of marketing personnel are required wherein the person who is not getting sales, he may discuss his problems and find its solutions and the person who is doing better, he can motivate others by providing new ideas. </w:t>
      </w:r>
    </w:p>
    <w:p w:rsidR="00C20BC1" w:rsidRDefault="00C20BC1" w:rsidP="007510AA">
      <w:pPr>
        <w:jc w:val="both"/>
      </w:pPr>
    </w:p>
    <w:p w:rsidR="002433AB" w:rsidRDefault="002433AB" w:rsidP="007510AA">
      <w:pPr>
        <w:jc w:val="both"/>
      </w:pPr>
    </w:p>
    <w:p w:rsidR="008D2CB7" w:rsidRPr="001B163B" w:rsidRDefault="002433AB" w:rsidP="001B163B">
      <w:pPr>
        <w:pStyle w:val="Title"/>
        <w:spacing w:after="0"/>
        <w:jc w:val="both"/>
        <w:rPr>
          <w:b/>
          <w:bCs/>
          <w:sz w:val="20"/>
          <w:szCs w:val="20"/>
        </w:rPr>
      </w:pPr>
      <w:r w:rsidRPr="001B163B">
        <w:rPr>
          <w:b/>
          <w:bCs/>
          <w:sz w:val="20"/>
          <w:szCs w:val="20"/>
        </w:rPr>
        <w:lastRenderedPageBreak/>
        <w:t xml:space="preserve">Sales Budget </w:t>
      </w:r>
    </w:p>
    <w:p w:rsidR="002433AB" w:rsidRPr="00533107" w:rsidRDefault="008D2CB7" w:rsidP="001B163B">
      <w:pPr>
        <w:spacing w:after="0"/>
        <w:jc w:val="both"/>
        <w:rPr>
          <w:b/>
          <w:bCs/>
        </w:rPr>
      </w:pPr>
      <w:r w:rsidRPr="00533107">
        <w:rPr>
          <w:b/>
          <w:bCs/>
        </w:rPr>
        <w:t>Required – Last two or three years data for forecasting….</w:t>
      </w:r>
    </w:p>
    <w:p w:rsidR="008D2CB7" w:rsidRPr="00533107" w:rsidRDefault="008D2CB7" w:rsidP="001B163B">
      <w:pPr>
        <w:spacing w:after="0"/>
        <w:jc w:val="both"/>
        <w:rPr>
          <w:b/>
          <w:bCs/>
        </w:rPr>
      </w:pPr>
      <w:r w:rsidRPr="00533107">
        <w:rPr>
          <w:b/>
          <w:bCs/>
        </w:rPr>
        <w:t>Steps –</w:t>
      </w:r>
    </w:p>
    <w:p w:rsidR="008D2CB7" w:rsidRDefault="00171340" w:rsidP="007510AA">
      <w:pPr>
        <w:pStyle w:val="ListParagraph"/>
        <w:numPr>
          <w:ilvl w:val="0"/>
          <w:numId w:val="1"/>
        </w:numPr>
        <w:jc w:val="both"/>
      </w:pPr>
      <w:r>
        <w:t>You have sales data for the year 2013-14 and 2014-15. By looking the trend of sales, marketing persons will forecast the sales of the next year. So we want the data like…</w:t>
      </w:r>
    </w:p>
    <w:p w:rsidR="00171340" w:rsidRDefault="00171340" w:rsidP="007510AA">
      <w:pPr>
        <w:pStyle w:val="ListParagraph"/>
        <w:jc w:val="both"/>
      </w:pPr>
      <w:r>
        <w:rPr>
          <w:noProof/>
        </w:rPr>
        <w:drawing>
          <wp:inline distT="0" distB="0" distL="0" distR="0">
            <wp:extent cx="5943600" cy="1609725"/>
            <wp:effectExtent l="19050" t="19050" r="19050" b="2857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943600" cy="1609725"/>
                    </a:xfrm>
                    <a:prstGeom prst="rect">
                      <a:avLst/>
                    </a:prstGeom>
                    <a:noFill/>
                    <a:ln w="9525">
                      <a:solidFill>
                        <a:schemeClr val="tx1"/>
                      </a:solidFill>
                      <a:miter lim="800000"/>
                      <a:headEnd/>
                      <a:tailEnd/>
                    </a:ln>
                  </pic:spPr>
                </pic:pic>
              </a:graphicData>
            </a:graphic>
          </wp:inline>
        </w:drawing>
      </w:r>
    </w:p>
    <w:p w:rsidR="00171340" w:rsidRDefault="00745C62" w:rsidP="007510AA">
      <w:pPr>
        <w:pStyle w:val="ListParagraph"/>
        <w:numPr>
          <w:ilvl w:val="0"/>
          <w:numId w:val="1"/>
        </w:numPr>
        <w:jc w:val="both"/>
      </w:pPr>
      <w:r>
        <w:t xml:space="preserve">Now for this first of all you need to combine both the data, for that you have to insert one column in both the sheets – “Year” and write down Year of sale. </w:t>
      </w:r>
    </w:p>
    <w:p w:rsidR="00745C62" w:rsidRDefault="00745C62" w:rsidP="007510AA">
      <w:pPr>
        <w:pStyle w:val="ListParagraph"/>
        <w:jc w:val="both"/>
      </w:pPr>
      <w:r>
        <w:rPr>
          <w:noProof/>
        </w:rPr>
        <w:drawing>
          <wp:inline distT="0" distB="0" distL="0" distR="0">
            <wp:extent cx="5934075" cy="1704975"/>
            <wp:effectExtent l="19050" t="19050" r="28575" b="2857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934075" cy="1704975"/>
                    </a:xfrm>
                    <a:prstGeom prst="rect">
                      <a:avLst/>
                    </a:prstGeom>
                    <a:noFill/>
                    <a:ln w="9525">
                      <a:solidFill>
                        <a:schemeClr val="tx1"/>
                      </a:solidFill>
                      <a:miter lim="800000"/>
                      <a:headEnd/>
                      <a:tailEnd/>
                    </a:ln>
                  </pic:spPr>
                </pic:pic>
              </a:graphicData>
            </a:graphic>
          </wp:inline>
        </w:drawing>
      </w:r>
    </w:p>
    <w:p w:rsidR="00745C62" w:rsidRDefault="00745C62" w:rsidP="007510AA">
      <w:pPr>
        <w:pStyle w:val="ListParagraph"/>
        <w:numPr>
          <w:ilvl w:val="0"/>
          <w:numId w:val="1"/>
        </w:numPr>
        <w:jc w:val="both"/>
      </w:pPr>
      <w:r>
        <w:t xml:space="preserve">Now Copy Year 13-14 data and paste in New Sheet, then after copy 14-15 data and paste below it. So now you have both the year data in one sheet having column “Year”. </w:t>
      </w:r>
      <w:r w:rsidR="002A7F74">
        <w:t>Now run pivot table..</w:t>
      </w:r>
    </w:p>
    <w:p w:rsidR="002A7F74" w:rsidRDefault="00091A1F" w:rsidP="007510AA">
      <w:pPr>
        <w:pStyle w:val="ListParagraph"/>
        <w:jc w:val="both"/>
      </w:pPr>
      <w:r>
        <w:rPr>
          <w:noProof/>
        </w:rPr>
        <w:drawing>
          <wp:inline distT="0" distB="0" distL="0" distR="0">
            <wp:extent cx="2219325" cy="2590800"/>
            <wp:effectExtent l="19050" t="19050" r="28575" b="1905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2219325" cy="2590800"/>
                    </a:xfrm>
                    <a:prstGeom prst="rect">
                      <a:avLst/>
                    </a:prstGeom>
                    <a:noFill/>
                    <a:ln w="9525">
                      <a:solidFill>
                        <a:schemeClr val="tx1"/>
                      </a:solidFill>
                      <a:miter lim="800000"/>
                      <a:headEnd/>
                      <a:tailEnd/>
                    </a:ln>
                  </pic:spPr>
                </pic:pic>
              </a:graphicData>
            </a:graphic>
          </wp:inline>
        </w:drawing>
      </w:r>
    </w:p>
    <w:p w:rsidR="00091A1F" w:rsidRDefault="00091A1F" w:rsidP="007510AA">
      <w:pPr>
        <w:pStyle w:val="ListParagraph"/>
        <w:jc w:val="both"/>
      </w:pPr>
    </w:p>
    <w:p w:rsidR="00091A1F" w:rsidRDefault="00091A1F" w:rsidP="007510AA">
      <w:pPr>
        <w:pStyle w:val="ListParagraph"/>
        <w:jc w:val="both"/>
      </w:pPr>
    </w:p>
    <w:p w:rsidR="00091A1F" w:rsidRDefault="00091A1F" w:rsidP="007510AA">
      <w:pPr>
        <w:pStyle w:val="ListParagraph"/>
        <w:jc w:val="both"/>
      </w:pPr>
      <w:r>
        <w:rPr>
          <w:noProof/>
        </w:rPr>
        <w:drawing>
          <wp:inline distT="0" distB="0" distL="0" distR="0">
            <wp:extent cx="5781675" cy="2876550"/>
            <wp:effectExtent l="19050" t="19050" r="28575" b="1905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5781675" cy="2876550"/>
                    </a:xfrm>
                    <a:prstGeom prst="rect">
                      <a:avLst/>
                    </a:prstGeom>
                    <a:noFill/>
                    <a:ln w="9525">
                      <a:solidFill>
                        <a:schemeClr val="tx1"/>
                      </a:solidFill>
                      <a:miter lim="800000"/>
                      <a:headEnd/>
                      <a:tailEnd/>
                    </a:ln>
                  </pic:spPr>
                </pic:pic>
              </a:graphicData>
            </a:graphic>
          </wp:inline>
        </w:drawing>
      </w:r>
    </w:p>
    <w:p w:rsidR="00091A1F" w:rsidRDefault="00091A1F" w:rsidP="007510AA">
      <w:pPr>
        <w:pStyle w:val="ListParagraph"/>
        <w:numPr>
          <w:ilvl w:val="0"/>
          <w:numId w:val="1"/>
        </w:numPr>
        <w:jc w:val="both"/>
      </w:pPr>
      <w:r>
        <w:t>Now to convert this into year by year columns – We use column Label and put “Year” in Column Lable..</w:t>
      </w:r>
    </w:p>
    <w:p w:rsidR="00091A1F" w:rsidRDefault="00091A1F" w:rsidP="007510AA">
      <w:pPr>
        <w:pStyle w:val="ListParagraph"/>
        <w:jc w:val="both"/>
      </w:pPr>
      <w:r>
        <w:rPr>
          <w:noProof/>
        </w:rPr>
        <w:drawing>
          <wp:inline distT="0" distB="0" distL="0" distR="0">
            <wp:extent cx="2228850" cy="2257425"/>
            <wp:effectExtent l="19050" t="19050" r="19050" b="285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srcRect/>
                    <a:stretch>
                      <a:fillRect/>
                    </a:stretch>
                  </pic:blipFill>
                  <pic:spPr bwMode="auto">
                    <a:xfrm>
                      <a:off x="0" y="0"/>
                      <a:ext cx="2228850" cy="2257425"/>
                    </a:xfrm>
                    <a:prstGeom prst="rect">
                      <a:avLst/>
                    </a:prstGeom>
                    <a:noFill/>
                    <a:ln w="9525">
                      <a:solidFill>
                        <a:schemeClr val="tx1"/>
                      </a:solidFill>
                      <a:miter lim="800000"/>
                      <a:headEnd/>
                      <a:tailEnd/>
                    </a:ln>
                  </pic:spPr>
                </pic:pic>
              </a:graphicData>
            </a:graphic>
          </wp:inline>
        </w:drawing>
      </w:r>
    </w:p>
    <w:p w:rsidR="00091A1F" w:rsidRDefault="00091A1F" w:rsidP="007510AA">
      <w:pPr>
        <w:pStyle w:val="ListParagraph"/>
        <w:numPr>
          <w:ilvl w:val="0"/>
          <w:numId w:val="1"/>
        </w:numPr>
        <w:jc w:val="both"/>
      </w:pPr>
      <w:r>
        <w:t xml:space="preserve">Your report is ready, Just copy the table and paste in new sheet, then add one column for the year 2015-16 for forecasting purpose for marketing persons. </w:t>
      </w:r>
      <w:r w:rsidR="007510AA">
        <w:t>Report looks like as shown in point 1.</w:t>
      </w:r>
    </w:p>
    <w:p w:rsidR="007F4456" w:rsidRDefault="007F4456" w:rsidP="00533107">
      <w:pPr>
        <w:ind w:left="360"/>
        <w:jc w:val="both"/>
        <w:rPr>
          <w:b/>
          <w:bCs/>
        </w:rPr>
      </w:pPr>
    </w:p>
    <w:p w:rsidR="007F4456" w:rsidRDefault="007F4456" w:rsidP="00533107">
      <w:pPr>
        <w:ind w:left="360"/>
        <w:jc w:val="both"/>
        <w:rPr>
          <w:b/>
          <w:bCs/>
        </w:rPr>
      </w:pPr>
    </w:p>
    <w:p w:rsidR="007F4456" w:rsidRDefault="007F4456" w:rsidP="00533107">
      <w:pPr>
        <w:ind w:left="360"/>
        <w:jc w:val="both"/>
        <w:rPr>
          <w:b/>
          <w:bCs/>
        </w:rPr>
      </w:pPr>
    </w:p>
    <w:p w:rsidR="007F4456" w:rsidRDefault="007F4456" w:rsidP="00533107">
      <w:pPr>
        <w:ind w:left="360"/>
        <w:jc w:val="both"/>
        <w:rPr>
          <w:b/>
          <w:bCs/>
        </w:rPr>
      </w:pPr>
    </w:p>
    <w:p w:rsidR="007F4456" w:rsidRDefault="007F4456" w:rsidP="00533107">
      <w:pPr>
        <w:ind w:left="360"/>
        <w:jc w:val="both"/>
        <w:rPr>
          <w:b/>
          <w:bCs/>
        </w:rPr>
      </w:pPr>
    </w:p>
    <w:p w:rsidR="007F4456" w:rsidRDefault="007F4456" w:rsidP="00533107">
      <w:pPr>
        <w:ind w:left="360"/>
        <w:jc w:val="both"/>
        <w:rPr>
          <w:b/>
          <w:bCs/>
        </w:rPr>
      </w:pPr>
    </w:p>
    <w:p w:rsidR="007F4456" w:rsidRPr="001B163B" w:rsidRDefault="007F4456" w:rsidP="007F4456">
      <w:pPr>
        <w:pStyle w:val="Title"/>
        <w:rPr>
          <w:b/>
          <w:bCs/>
          <w:sz w:val="20"/>
          <w:szCs w:val="20"/>
        </w:rPr>
      </w:pPr>
      <w:r w:rsidRPr="001B163B">
        <w:rPr>
          <w:b/>
          <w:bCs/>
          <w:sz w:val="20"/>
          <w:szCs w:val="20"/>
        </w:rPr>
        <w:lastRenderedPageBreak/>
        <w:t xml:space="preserve">Top 5 Customers Report - </w:t>
      </w:r>
    </w:p>
    <w:p w:rsidR="00533107" w:rsidRDefault="007F4456" w:rsidP="00533107">
      <w:pPr>
        <w:ind w:left="360"/>
        <w:jc w:val="both"/>
        <w:rPr>
          <w:b/>
          <w:bCs/>
        </w:rPr>
      </w:pPr>
      <w:r>
        <w:rPr>
          <w:b/>
          <w:bCs/>
          <w:noProof/>
        </w:rPr>
        <w:drawing>
          <wp:inline distT="0" distB="0" distL="0" distR="0">
            <wp:extent cx="2247900" cy="2286000"/>
            <wp:effectExtent l="38100" t="19050" r="19050" b="190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srcRect/>
                    <a:stretch>
                      <a:fillRect/>
                    </a:stretch>
                  </pic:blipFill>
                  <pic:spPr bwMode="auto">
                    <a:xfrm>
                      <a:off x="0" y="0"/>
                      <a:ext cx="2247900" cy="2286000"/>
                    </a:xfrm>
                    <a:prstGeom prst="rect">
                      <a:avLst/>
                    </a:prstGeom>
                    <a:noFill/>
                    <a:ln w="9525">
                      <a:solidFill>
                        <a:schemeClr val="tx1"/>
                      </a:solidFill>
                      <a:miter lim="800000"/>
                      <a:headEnd/>
                      <a:tailEnd/>
                    </a:ln>
                  </pic:spPr>
                </pic:pic>
              </a:graphicData>
            </a:graphic>
          </wp:inline>
        </w:drawing>
      </w:r>
      <w:r w:rsidRPr="007F4456">
        <w:rPr>
          <w:b/>
          <w:bCs/>
        </w:rPr>
        <w:t xml:space="preserve"> </w:t>
      </w:r>
    </w:p>
    <w:p w:rsidR="007F4456" w:rsidRDefault="007F4456" w:rsidP="00533107">
      <w:pPr>
        <w:ind w:left="360"/>
        <w:jc w:val="both"/>
      </w:pPr>
      <w:r>
        <w:t>Now set pivot table to above values. And then filter customer name –value filters- top 10</w:t>
      </w:r>
    </w:p>
    <w:p w:rsidR="007F4456" w:rsidRPr="007F4456" w:rsidRDefault="007F4456" w:rsidP="00533107">
      <w:pPr>
        <w:ind w:left="360"/>
        <w:jc w:val="both"/>
      </w:pPr>
      <w:r>
        <w:rPr>
          <w:noProof/>
        </w:rPr>
        <w:drawing>
          <wp:inline distT="0" distB="0" distL="0" distR="0">
            <wp:extent cx="3924300" cy="3952875"/>
            <wp:effectExtent l="19050" t="19050" r="19050" b="285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3924300" cy="3952875"/>
                    </a:xfrm>
                    <a:prstGeom prst="rect">
                      <a:avLst/>
                    </a:prstGeom>
                    <a:noFill/>
                    <a:ln w="9525">
                      <a:solidFill>
                        <a:schemeClr val="tx1"/>
                      </a:solidFill>
                      <a:miter lim="800000"/>
                      <a:headEnd/>
                      <a:tailEnd/>
                    </a:ln>
                  </pic:spPr>
                </pic:pic>
              </a:graphicData>
            </a:graphic>
          </wp:inline>
        </w:drawing>
      </w:r>
    </w:p>
    <w:p w:rsidR="007F4456" w:rsidRDefault="007F4456" w:rsidP="00533107">
      <w:pPr>
        <w:ind w:left="360"/>
        <w:jc w:val="both"/>
      </w:pPr>
      <w:r>
        <w:t>Now you can modify the search result i.e. you can write top 5 or top 3 etc….</w:t>
      </w:r>
    </w:p>
    <w:p w:rsidR="007F4456" w:rsidRDefault="007F4456" w:rsidP="00533107">
      <w:pPr>
        <w:ind w:left="360"/>
        <w:jc w:val="both"/>
      </w:pPr>
    </w:p>
    <w:p w:rsidR="00973AB5" w:rsidRDefault="00973AB5" w:rsidP="00533107">
      <w:pPr>
        <w:ind w:left="360"/>
        <w:jc w:val="both"/>
      </w:pPr>
    </w:p>
    <w:p w:rsidR="00973AB5" w:rsidRPr="001B163B" w:rsidRDefault="00973AB5" w:rsidP="00973AB5">
      <w:pPr>
        <w:pStyle w:val="Title"/>
        <w:rPr>
          <w:b/>
          <w:bCs/>
          <w:sz w:val="20"/>
          <w:szCs w:val="20"/>
        </w:rPr>
      </w:pPr>
      <w:r w:rsidRPr="001B163B">
        <w:rPr>
          <w:b/>
          <w:bCs/>
          <w:sz w:val="20"/>
          <w:szCs w:val="20"/>
        </w:rPr>
        <w:lastRenderedPageBreak/>
        <w:t xml:space="preserve">Lost Customer Report </w:t>
      </w:r>
    </w:p>
    <w:p w:rsidR="00973AB5" w:rsidRDefault="00973AB5" w:rsidP="00533107">
      <w:pPr>
        <w:ind w:left="360"/>
        <w:jc w:val="both"/>
      </w:pPr>
      <w:r>
        <w:t>You can prepare this report from the above table only, you need to just copy data and paste in new sheet, then after filter Year 2014-15 data –with “Blank” i.e. no sale…</w:t>
      </w:r>
    </w:p>
    <w:p w:rsidR="00973AB5" w:rsidRDefault="00973AB5" w:rsidP="00533107">
      <w:pPr>
        <w:ind w:left="360"/>
        <w:jc w:val="both"/>
      </w:pPr>
      <w:r>
        <w:rPr>
          <w:noProof/>
        </w:rPr>
        <w:drawing>
          <wp:inline distT="0" distB="0" distL="0" distR="0">
            <wp:extent cx="2724150" cy="2333625"/>
            <wp:effectExtent l="19050" t="19050" r="19050" b="285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srcRect/>
                    <a:stretch>
                      <a:fillRect/>
                    </a:stretch>
                  </pic:blipFill>
                  <pic:spPr bwMode="auto">
                    <a:xfrm>
                      <a:off x="0" y="0"/>
                      <a:ext cx="2724150" cy="2333625"/>
                    </a:xfrm>
                    <a:prstGeom prst="rect">
                      <a:avLst/>
                    </a:prstGeom>
                    <a:noFill/>
                    <a:ln w="9525">
                      <a:solidFill>
                        <a:schemeClr val="tx1"/>
                      </a:solidFill>
                      <a:miter lim="800000"/>
                      <a:headEnd/>
                      <a:tailEnd/>
                    </a:ln>
                  </pic:spPr>
                </pic:pic>
              </a:graphicData>
            </a:graphic>
          </wp:inline>
        </w:drawing>
      </w:r>
    </w:p>
    <w:p w:rsidR="00973AB5" w:rsidRDefault="001B163B" w:rsidP="00533107">
      <w:pPr>
        <w:ind w:left="360"/>
        <w:jc w:val="both"/>
      </w:pPr>
      <w:r w:rsidRPr="001B163B">
        <w:rPr>
          <w:b/>
          <w:bCs/>
        </w:rPr>
        <w:t>Tips – If you want Sales man wise separate reports in separate sheets and for example there are 25 salesman then this is very time consuming – but not in Pivot table….. I want salesmanwise report so put salesman tab in “Report filter” and then after – go to Options – Pivot table options – Show Report Filter Pages……..Done</w:t>
      </w:r>
      <w:r>
        <w:t>.</w:t>
      </w:r>
    </w:p>
    <w:p w:rsidR="001B163B" w:rsidRDefault="001B163B" w:rsidP="00533107">
      <w:pPr>
        <w:ind w:left="360"/>
        <w:jc w:val="both"/>
      </w:pPr>
      <w:r>
        <w:rPr>
          <w:noProof/>
        </w:rPr>
        <w:drawing>
          <wp:inline distT="0" distB="0" distL="0" distR="0">
            <wp:extent cx="2247900" cy="2200275"/>
            <wp:effectExtent l="19050" t="19050" r="19050" b="285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2247900" cy="2200275"/>
                    </a:xfrm>
                    <a:prstGeom prst="rect">
                      <a:avLst/>
                    </a:prstGeom>
                    <a:noFill/>
                    <a:ln w="9525">
                      <a:solidFill>
                        <a:schemeClr val="tx1"/>
                      </a:solidFill>
                      <a:miter lim="800000"/>
                      <a:headEnd/>
                      <a:tailEnd/>
                    </a:ln>
                  </pic:spPr>
                </pic:pic>
              </a:graphicData>
            </a:graphic>
          </wp:inline>
        </w:drawing>
      </w:r>
      <w:r>
        <w:rPr>
          <w:noProof/>
        </w:rPr>
        <w:drawing>
          <wp:inline distT="0" distB="0" distL="0" distR="0">
            <wp:extent cx="3333750" cy="2209800"/>
            <wp:effectExtent l="19050" t="19050" r="19050" b="1905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3333750" cy="2209800"/>
                    </a:xfrm>
                    <a:prstGeom prst="rect">
                      <a:avLst/>
                    </a:prstGeom>
                    <a:noFill/>
                    <a:ln w="9525">
                      <a:solidFill>
                        <a:schemeClr val="tx1"/>
                      </a:solidFill>
                      <a:miter lim="800000"/>
                      <a:headEnd/>
                      <a:tailEnd/>
                    </a:ln>
                  </pic:spPr>
                </pic:pic>
              </a:graphicData>
            </a:graphic>
          </wp:inline>
        </w:drawing>
      </w:r>
    </w:p>
    <w:p w:rsidR="007F4456" w:rsidRDefault="007F4456" w:rsidP="00533107">
      <w:pPr>
        <w:ind w:left="360"/>
        <w:jc w:val="both"/>
        <w:rPr>
          <w:b/>
          <w:bCs/>
        </w:rPr>
      </w:pPr>
    </w:p>
    <w:p w:rsidR="007F4456" w:rsidRDefault="007F4456" w:rsidP="00533107">
      <w:pPr>
        <w:ind w:left="360"/>
        <w:jc w:val="both"/>
        <w:rPr>
          <w:b/>
          <w:bCs/>
        </w:rPr>
      </w:pPr>
    </w:p>
    <w:p w:rsidR="007F4456" w:rsidRPr="007F4456" w:rsidRDefault="007F4456" w:rsidP="00533107">
      <w:pPr>
        <w:ind w:left="360"/>
        <w:jc w:val="both"/>
        <w:rPr>
          <w:b/>
          <w:bCs/>
        </w:rPr>
      </w:pPr>
    </w:p>
    <w:p w:rsidR="007510AA" w:rsidRPr="008D2CB7" w:rsidRDefault="007510AA" w:rsidP="007510AA">
      <w:pPr>
        <w:pStyle w:val="ListParagraph"/>
        <w:jc w:val="both"/>
      </w:pPr>
    </w:p>
    <w:sectPr w:rsidR="007510AA" w:rsidRPr="008D2CB7" w:rsidSect="007510AA">
      <w:headerReference w:type="default" r:id="rId18"/>
      <w:footerReference w:type="default" r:id="rId19"/>
      <w:pgSz w:w="12240" w:h="15840"/>
      <w:pgMar w:top="288" w:right="720" w:bottom="288"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1839" w:rsidRDefault="00EA1839" w:rsidP="001B163B">
      <w:pPr>
        <w:spacing w:after="0" w:line="240" w:lineRule="auto"/>
      </w:pPr>
      <w:r>
        <w:separator/>
      </w:r>
    </w:p>
  </w:endnote>
  <w:endnote w:type="continuationSeparator" w:id="1">
    <w:p w:rsidR="00EA1839" w:rsidRDefault="00EA1839" w:rsidP="001B16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63B" w:rsidRDefault="001B163B">
    <w:pPr>
      <w:pStyle w:val="Footer"/>
      <w:pBdr>
        <w:top w:val="thinThickSmallGap" w:sz="24" w:space="1" w:color="622423" w:themeColor="accent2" w:themeShade="7F"/>
      </w:pBdr>
      <w:rPr>
        <w:rFonts w:asciiTheme="majorHAnsi" w:hAnsiTheme="majorHAnsi"/>
      </w:rPr>
    </w:pPr>
    <w:r>
      <w:rPr>
        <w:rFonts w:asciiTheme="majorHAnsi" w:hAnsiTheme="majorHAnsi"/>
      </w:rPr>
      <w:t xml:space="preserve">CA Ronak Patel </w:t>
    </w:r>
    <w:r>
      <w:rPr>
        <w:rFonts w:asciiTheme="majorHAnsi" w:hAnsiTheme="majorHAnsi"/>
      </w:rPr>
      <w:ptab w:relativeTo="margin" w:alignment="right" w:leader="none"/>
    </w:r>
    <w:r>
      <w:rPr>
        <w:rFonts w:asciiTheme="majorHAnsi" w:hAnsiTheme="majorHAnsi"/>
      </w:rPr>
      <w:t xml:space="preserve">Page </w:t>
    </w:r>
    <w:fldSimple w:instr=" PAGE   \* MERGEFORMAT ">
      <w:r w:rsidRPr="001B163B">
        <w:rPr>
          <w:rFonts w:asciiTheme="majorHAnsi" w:hAnsiTheme="majorHAnsi"/>
          <w:noProof/>
        </w:rPr>
        <w:t>1</w:t>
      </w:r>
    </w:fldSimple>
  </w:p>
  <w:p w:rsidR="001B163B" w:rsidRDefault="001B16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1839" w:rsidRDefault="00EA1839" w:rsidP="001B163B">
      <w:pPr>
        <w:spacing w:after="0" w:line="240" w:lineRule="auto"/>
      </w:pPr>
      <w:r>
        <w:separator/>
      </w:r>
    </w:p>
  </w:footnote>
  <w:footnote w:type="continuationSeparator" w:id="1">
    <w:p w:rsidR="00EA1839" w:rsidRDefault="00EA1839" w:rsidP="001B16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bCs/>
        <w:sz w:val="32"/>
        <w:szCs w:val="32"/>
      </w:rPr>
      <w:alias w:val="Title"/>
      <w:id w:val="77738743"/>
      <w:placeholder>
        <w:docPart w:val="64D3BE535E0347CEBCF192910CFBD118"/>
      </w:placeholder>
      <w:dataBinding w:prefixMappings="xmlns:ns0='http://schemas.openxmlformats.org/package/2006/metadata/core-properties' xmlns:ns1='http://purl.org/dc/elements/1.1/'" w:xpath="/ns0:coreProperties[1]/ns1:title[1]" w:storeItemID="{6C3C8BC8-F283-45AE-878A-BAB7291924A1}"/>
      <w:text/>
    </w:sdtPr>
    <w:sdtContent>
      <w:p w:rsidR="001B163B" w:rsidRDefault="001B163B">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1B163B">
          <w:rPr>
            <w:rFonts w:asciiTheme="majorHAnsi" w:eastAsiaTheme="majorEastAsia" w:hAnsiTheme="majorHAnsi" w:cstheme="majorBidi"/>
            <w:b/>
            <w:bCs/>
            <w:sz w:val="32"/>
            <w:szCs w:val="32"/>
          </w:rPr>
          <w:t>Sales Reports</w:t>
        </w:r>
      </w:p>
    </w:sdtContent>
  </w:sdt>
  <w:p w:rsidR="001B163B" w:rsidRDefault="001B16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34718"/>
    <w:multiLevelType w:val="hybridMultilevel"/>
    <w:tmpl w:val="7E506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C20BC1"/>
    <w:rsid w:val="00091A1F"/>
    <w:rsid w:val="00143DD9"/>
    <w:rsid w:val="001664A9"/>
    <w:rsid w:val="00171340"/>
    <w:rsid w:val="001B163B"/>
    <w:rsid w:val="002433AB"/>
    <w:rsid w:val="00277811"/>
    <w:rsid w:val="002A7F74"/>
    <w:rsid w:val="00451AAB"/>
    <w:rsid w:val="00533107"/>
    <w:rsid w:val="0062183F"/>
    <w:rsid w:val="006F2AE3"/>
    <w:rsid w:val="00745C62"/>
    <w:rsid w:val="007510AA"/>
    <w:rsid w:val="007941F2"/>
    <w:rsid w:val="007A3027"/>
    <w:rsid w:val="007F4456"/>
    <w:rsid w:val="008D2CB7"/>
    <w:rsid w:val="00973AB5"/>
    <w:rsid w:val="00B16A70"/>
    <w:rsid w:val="00C20BC1"/>
    <w:rsid w:val="00EA1839"/>
    <w:rsid w:val="00FC29C2"/>
  </w:rsids>
  <m:mathPr>
    <m:mathFont m:val="Cambria Math"/>
    <m:brkBin m:val="before"/>
    <m:brkBinSub m:val="--"/>
    <m:smallFrac m:val="off"/>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1A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20BC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20BC1"/>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FC29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29C2"/>
    <w:rPr>
      <w:rFonts w:ascii="Tahoma" w:hAnsi="Tahoma" w:cs="Tahoma"/>
      <w:sz w:val="16"/>
      <w:szCs w:val="16"/>
    </w:rPr>
  </w:style>
  <w:style w:type="paragraph" w:styleId="ListParagraph">
    <w:name w:val="List Paragraph"/>
    <w:basedOn w:val="Normal"/>
    <w:uiPriority w:val="34"/>
    <w:qFormat/>
    <w:rsid w:val="00143DD9"/>
    <w:pPr>
      <w:ind w:left="720"/>
      <w:contextualSpacing/>
    </w:pPr>
  </w:style>
  <w:style w:type="paragraph" w:styleId="Header">
    <w:name w:val="header"/>
    <w:basedOn w:val="Normal"/>
    <w:link w:val="HeaderChar"/>
    <w:uiPriority w:val="99"/>
    <w:unhideWhenUsed/>
    <w:rsid w:val="001B1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163B"/>
  </w:style>
  <w:style w:type="paragraph" w:styleId="Footer">
    <w:name w:val="footer"/>
    <w:basedOn w:val="Normal"/>
    <w:link w:val="FooterChar"/>
    <w:uiPriority w:val="99"/>
    <w:unhideWhenUsed/>
    <w:rsid w:val="001B1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163B"/>
  </w:style>
</w:styles>
</file>

<file path=word/webSettings.xml><?xml version="1.0" encoding="utf-8"?>
<w:webSettings xmlns:r="http://schemas.openxmlformats.org/officeDocument/2006/relationships" xmlns:w="http://schemas.openxmlformats.org/wordprocessingml/2006/main">
  <w:divs>
    <w:div w:id="176098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chart" Target="charts/chart1.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Ronak\Desktop\IT%20Training\Sal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view3D>
      <c:rotX val="40"/>
      <c:rAngAx val="1"/>
    </c:view3D>
    <c:plotArea>
      <c:layout/>
      <c:bar3DChart>
        <c:barDir val="col"/>
        <c:grouping val="clustered"/>
        <c:ser>
          <c:idx val="0"/>
          <c:order val="0"/>
          <c:tx>
            <c:strRef>
              <c:f>Performance!$B$2</c:f>
              <c:strCache>
                <c:ptCount val="1"/>
                <c:pt idx="0">
                  <c:v>2013-14</c:v>
                </c:pt>
              </c:strCache>
            </c:strRef>
          </c:tx>
          <c:spPr>
            <a:solidFill>
              <a:schemeClr val="tx2">
                <a:lumMod val="60000"/>
                <a:lumOff val="40000"/>
              </a:schemeClr>
            </a:solidFill>
            <a:scene3d>
              <a:camera prst="orthographicFront"/>
              <a:lightRig rig="threePt" dir="t"/>
            </a:scene3d>
            <a:sp3d/>
          </c:spPr>
          <c:dLbls>
            <c:dLbl>
              <c:idx val="0"/>
              <c:layout>
                <c:manualLayout>
                  <c:x val="-1.1111111111111141E-2"/>
                  <c:y val="-8.8888888888889184E-2"/>
                </c:manualLayout>
              </c:layout>
              <c:spPr>
                <a:solidFill>
                  <a:schemeClr val="accent1"/>
                </a:solidFill>
              </c:spPr>
              <c:txPr>
                <a:bodyPr/>
                <a:lstStyle/>
                <a:p>
                  <a:pPr>
                    <a:defRPr>
                      <a:solidFill>
                        <a:schemeClr val="bg1"/>
                      </a:solidFill>
                    </a:defRPr>
                  </a:pPr>
                  <a:endParaRPr lang="en-US"/>
                </a:p>
              </c:txPr>
              <c:showVal val="1"/>
            </c:dLbl>
            <c:dLbl>
              <c:idx val="1"/>
              <c:layout>
                <c:manualLayout>
                  <c:x val="-1.1111111111111141E-2"/>
                  <c:y val="-7.6767676767676873E-2"/>
                </c:manualLayout>
              </c:layout>
              <c:spPr>
                <a:solidFill>
                  <a:srgbClr val="4F81BD"/>
                </a:solidFill>
              </c:spPr>
              <c:txPr>
                <a:bodyPr/>
                <a:lstStyle/>
                <a:p>
                  <a:pPr>
                    <a:defRPr>
                      <a:solidFill>
                        <a:schemeClr val="bg1"/>
                      </a:solidFill>
                    </a:defRPr>
                  </a:pPr>
                  <a:endParaRPr lang="en-US"/>
                </a:p>
              </c:txPr>
              <c:showVal val="1"/>
            </c:dLbl>
            <c:dLbl>
              <c:idx val="2"/>
              <c:layout>
                <c:manualLayout>
                  <c:x val="2.7777777777777918E-3"/>
                  <c:y val="-8.0808080808080787E-2"/>
                </c:manualLayout>
              </c:layout>
              <c:spPr>
                <a:solidFill>
                  <a:srgbClr val="4F81BD"/>
                </a:solidFill>
              </c:spPr>
              <c:txPr>
                <a:bodyPr/>
                <a:lstStyle/>
                <a:p>
                  <a:pPr>
                    <a:defRPr>
                      <a:solidFill>
                        <a:schemeClr val="bg1"/>
                      </a:solidFill>
                    </a:defRPr>
                  </a:pPr>
                  <a:endParaRPr lang="en-US"/>
                </a:p>
              </c:txPr>
              <c:showVal val="1"/>
            </c:dLbl>
            <c:txPr>
              <a:bodyPr/>
              <a:lstStyle/>
              <a:p>
                <a:pPr>
                  <a:defRPr>
                    <a:solidFill>
                      <a:schemeClr val="bg1"/>
                    </a:solidFill>
                  </a:defRPr>
                </a:pPr>
                <a:endParaRPr lang="en-US"/>
              </a:p>
            </c:txPr>
            <c:showVal val="1"/>
          </c:dLbls>
          <c:cat>
            <c:strRef>
              <c:f>Performance!$A$3:$A$5</c:f>
              <c:strCache>
                <c:ptCount val="3"/>
                <c:pt idx="0">
                  <c:v>Mahesh Acharya</c:v>
                </c:pt>
                <c:pt idx="1">
                  <c:v>Prakash Shah</c:v>
                </c:pt>
                <c:pt idx="2">
                  <c:v>Suresh Patel</c:v>
                </c:pt>
              </c:strCache>
            </c:strRef>
          </c:cat>
          <c:val>
            <c:numRef>
              <c:f>Performance!$B$3:$B$5</c:f>
              <c:numCache>
                <c:formatCode>_(* #,##0.00_);_(* \(#,##0.00\);_(* "-"??_);_(@_)</c:formatCode>
                <c:ptCount val="3"/>
                <c:pt idx="0">
                  <c:v>31.259999999999987</c:v>
                </c:pt>
                <c:pt idx="1">
                  <c:v>37.06</c:v>
                </c:pt>
                <c:pt idx="2">
                  <c:v>40.354999999999997</c:v>
                </c:pt>
              </c:numCache>
            </c:numRef>
          </c:val>
        </c:ser>
        <c:ser>
          <c:idx val="1"/>
          <c:order val="1"/>
          <c:tx>
            <c:strRef>
              <c:f>Performance!$C$2</c:f>
              <c:strCache>
                <c:ptCount val="1"/>
                <c:pt idx="0">
                  <c:v>2014-15</c:v>
                </c:pt>
              </c:strCache>
            </c:strRef>
          </c:tx>
          <c:spPr>
            <a:solidFill>
              <a:schemeClr val="accent2">
                <a:lumMod val="60000"/>
                <a:lumOff val="40000"/>
              </a:schemeClr>
            </a:solidFill>
            <a:scene3d>
              <a:camera prst="orthographicFront"/>
              <a:lightRig rig="threePt" dir="t"/>
            </a:scene3d>
            <a:sp3d/>
          </c:spPr>
          <c:dLbls>
            <c:dLbl>
              <c:idx val="0"/>
              <c:layout>
                <c:manualLayout>
                  <c:x val="1.388888888888893E-2"/>
                  <c:y val="-0.17373737373737425"/>
                </c:manualLayout>
              </c:layout>
              <c:showVal val="1"/>
            </c:dLbl>
            <c:dLbl>
              <c:idx val="1"/>
              <c:layout>
                <c:manualLayout>
                  <c:x val="2.2222222222222279E-2"/>
                  <c:y val="-8.0808080808080843E-2"/>
                </c:manualLayout>
              </c:layout>
              <c:showVal val="1"/>
            </c:dLbl>
            <c:dLbl>
              <c:idx val="2"/>
              <c:layout>
                <c:manualLayout>
                  <c:x val="2.2222003499562597E-2"/>
                  <c:y val="-9.2929611071343329E-2"/>
                </c:manualLayout>
              </c:layout>
              <c:showVal val="1"/>
            </c:dLbl>
            <c:spPr>
              <a:solidFill>
                <a:schemeClr val="accent2"/>
              </a:solidFill>
            </c:spPr>
            <c:txPr>
              <a:bodyPr/>
              <a:lstStyle/>
              <a:p>
                <a:pPr>
                  <a:defRPr>
                    <a:solidFill>
                      <a:schemeClr val="bg1"/>
                    </a:solidFill>
                  </a:defRPr>
                </a:pPr>
                <a:endParaRPr lang="en-US"/>
              </a:p>
            </c:txPr>
            <c:showVal val="1"/>
          </c:dLbls>
          <c:cat>
            <c:strRef>
              <c:f>Performance!$A$3:$A$5</c:f>
              <c:strCache>
                <c:ptCount val="3"/>
                <c:pt idx="0">
                  <c:v>Mahesh Acharya</c:v>
                </c:pt>
                <c:pt idx="1">
                  <c:v>Prakash Shah</c:v>
                </c:pt>
                <c:pt idx="2">
                  <c:v>Suresh Patel</c:v>
                </c:pt>
              </c:strCache>
            </c:strRef>
          </c:cat>
          <c:val>
            <c:numRef>
              <c:f>Performance!$C$3:$C$5</c:f>
              <c:numCache>
                <c:formatCode>_(* #,##0.00_);_(* \(#,##0.00\);_(* "-"??_);_(@_)</c:formatCode>
                <c:ptCount val="3"/>
                <c:pt idx="0">
                  <c:v>23.85</c:v>
                </c:pt>
                <c:pt idx="1">
                  <c:v>37.575000000000003</c:v>
                </c:pt>
                <c:pt idx="2">
                  <c:v>48.05</c:v>
                </c:pt>
              </c:numCache>
            </c:numRef>
          </c:val>
        </c:ser>
        <c:dLbls>
          <c:showVal val="1"/>
        </c:dLbls>
        <c:gapWidth val="75"/>
        <c:shape val="cylinder"/>
        <c:axId val="64935424"/>
        <c:axId val="65181184"/>
        <c:axId val="0"/>
      </c:bar3DChart>
      <c:catAx>
        <c:axId val="64935424"/>
        <c:scaling>
          <c:orientation val="minMax"/>
        </c:scaling>
        <c:axPos val="b"/>
        <c:majorTickMark val="none"/>
        <c:tickLblPos val="nextTo"/>
        <c:crossAx val="65181184"/>
        <c:crosses val="autoZero"/>
        <c:auto val="1"/>
        <c:lblAlgn val="ctr"/>
        <c:lblOffset val="100"/>
      </c:catAx>
      <c:valAx>
        <c:axId val="65181184"/>
        <c:scaling>
          <c:orientation val="minMax"/>
        </c:scaling>
        <c:axPos val="l"/>
        <c:numFmt formatCode="_(* #,##0.00_);_(* \(#,##0.00\);_(* &quot;-&quot;??_);_(@_)" sourceLinked="1"/>
        <c:majorTickMark val="none"/>
        <c:tickLblPos val="nextTo"/>
        <c:crossAx val="64935424"/>
        <c:crosses val="autoZero"/>
        <c:crossBetween val="between"/>
      </c:valAx>
    </c:plotArea>
    <c:legend>
      <c:legendPos val="b"/>
    </c:legend>
    <c:plotVisOnly val="1"/>
  </c:chart>
  <c:spPr>
    <a:gradFill rotWithShape="1">
      <a:gsLst>
        <a:gs pos="0">
          <a:schemeClr val="accent4">
            <a:tint val="50000"/>
            <a:satMod val="300000"/>
          </a:schemeClr>
        </a:gs>
        <a:gs pos="35000">
          <a:schemeClr val="accent4">
            <a:tint val="37000"/>
            <a:satMod val="300000"/>
          </a:schemeClr>
        </a:gs>
        <a:gs pos="100000">
          <a:schemeClr val="accent4">
            <a:tint val="15000"/>
            <a:satMod val="350000"/>
          </a:schemeClr>
        </a:gs>
      </a:gsLst>
      <a:lin ang="16200000" scaled="1"/>
    </a:gradFill>
    <a:ln w="9525" cap="flat" cmpd="sng" algn="ctr">
      <a:solidFill>
        <a:schemeClr val="accent4">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en-US"/>
    </a:p>
  </c:txPr>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4D3BE535E0347CEBCF192910CFBD118"/>
        <w:category>
          <w:name w:val="General"/>
          <w:gallery w:val="placeholder"/>
        </w:category>
        <w:types>
          <w:type w:val="bbPlcHdr"/>
        </w:types>
        <w:behaviors>
          <w:behavior w:val="content"/>
        </w:behaviors>
        <w:guid w:val="{1B10163A-6C34-4EBA-8B5C-022F422DC13A}"/>
      </w:docPartPr>
      <w:docPartBody>
        <w:p w:rsidR="00000000" w:rsidRDefault="001947FA" w:rsidP="001947FA">
          <w:pPr>
            <w:pStyle w:val="64D3BE535E0347CEBCF192910CFBD118"/>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947FA"/>
    <w:rsid w:val="001947FA"/>
    <w:rsid w:val="00DD269E"/>
  </w:rsids>
  <m:mathPr>
    <m:mathFont m:val="Cambria Math"/>
    <m:brkBin m:val="before"/>
    <m:brkBinSub m:val="--"/>
    <m:smallFrac m:val="off"/>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4D3BE535E0347CEBCF192910CFBD118">
    <w:name w:val="64D3BE535E0347CEBCF192910CFBD118"/>
    <w:rsid w:val="001947FA"/>
  </w:style>
  <w:style w:type="paragraph" w:customStyle="1" w:styleId="3742E1A9AB7A4205A9C4D4F5E0C75479">
    <w:name w:val="3742E1A9AB7A4205A9C4D4F5E0C75479"/>
    <w:rsid w:val="001947F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Reports</dc:title>
  <dc:subject/>
  <dc:creator>Ronak</dc:creator>
  <cp:keywords/>
  <dc:description/>
  <cp:lastModifiedBy>Ronak</cp:lastModifiedBy>
  <cp:revision>21</cp:revision>
  <dcterms:created xsi:type="dcterms:W3CDTF">2015-12-13T10:31:00Z</dcterms:created>
  <dcterms:modified xsi:type="dcterms:W3CDTF">2015-12-13T12:00:00Z</dcterms:modified>
</cp:coreProperties>
</file>